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76A" w:rsidRPr="003311C4" w:rsidRDefault="00C108C7" w:rsidP="003311C4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1C4">
        <w:rPr>
          <w:rFonts w:ascii="Times New Roman" w:hAnsi="Times New Roman" w:cs="Times New Roman"/>
          <w:b/>
          <w:sz w:val="24"/>
          <w:szCs w:val="24"/>
        </w:rPr>
        <w:t>Chapter 15</w:t>
      </w:r>
    </w:p>
    <w:p w:rsidR="00C108C7" w:rsidRPr="003311C4" w:rsidRDefault="00C108C7" w:rsidP="003311C4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1C4">
        <w:rPr>
          <w:rFonts w:ascii="Times New Roman" w:hAnsi="Times New Roman" w:cs="Times New Roman"/>
          <w:b/>
          <w:sz w:val="24"/>
          <w:szCs w:val="24"/>
        </w:rPr>
        <w:t>Pain-relieving Devices</w:t>
      </w:r>
    </w:p>
    <w:p w:rsidR="004F576A" w:rsidRPr="003311C4" w:rsidRDefault="004F576A" w:rsidP="003311C4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American Cancer Society, Surveillance Research. Estimated new cancer cases by sex and age (years) 2014. Atlanta 2004. </w:t>
      </w:r>
    </w:p>
    <w:p w:rsidR="003C1D85" w:rsidRPr="003311C4" w:rsidRDefault="003C1D85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Berthoud, H. R.,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Neuhuber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W. L. (2000). Functional and chemical anatomy of the afferent vagal system.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Auton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Neurosci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>, 85</w:t>
      </w:r>
      <w:r w:rsidRPr="003311C4">
        <w:rPr>
          <w:rFonts w:ascii="Times New Roman" w:hAnsi="Times New Roman" w:cs="Times New Roman"/>
          <w:sz w:val="24"/>
          <w:szCs w:val="24"/>
        </w:rPr>
        <w:t>(1-3), 1-17. doi:10.1016/S1566-0702(00)00215-0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Bottros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M. M., &amp; Christo, P. J. (2014). Current perspectives on intrathecal drug delivery.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J Pain Res, 7</w:t>
      </w:r>
      <w:r w:rsidRPr="003311C4">
        <w:rPr>
          <w:rFonts w:ascii="Times New Roman" w:hAnsi="Times New Roman" w:cs="Times New Roman"/>
          <w:sz w:val="24"/>
          <w:szCs w:val="24"/>
        </w:rPr>
        <w:t>, 615-626. doi:10.2147/JPR.S37591</w:t>
      </w:r>
    </w:p>
    <w:p w:rsidR="003311C4" w:rsidRPr="003311C4" w:rsidRDefault="003311C4" w:rsidP="003311C4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British Pain Society. Spinal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ord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timulation for the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management of p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ain: Recommendations for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best clinical p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ractice. </w:t>
      </w:r>
      <w:hyperlink r:id="rId5" w:history="1">
        <w:r w:rsidRPr="003311C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http://www.britishpainsociety.org/book_scs_main</w:t>
        </w:r>
      </w:hyperlink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Pdf (accessed November 3, 2016). 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Busch, V., Zeman, F.,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Heckel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Menne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Ellrich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Eichhammer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P. (2013). The effect of transcutaneous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vagus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 nerve stimulation on pain perception--an experimental study.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Brain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Stimul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>, 6</w:t>
      </w:r>
      <w:r w:rsidRPr="003311C4">
        <w:rPr>
          <w:rFonts w:ascii="Times New Roman" w:hAnsi="Times New Roman" w:cs="Times New Roman"/>
          <w:sz w:val="24"/>
          <w:szCs w:val="24"/>
        </w:rPr>
        <w:t xml:space="preserve">(2), 202-209. 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doi:10.1016/j.brs</w:t>
      </w:r>
      <w:proofErr w:type="gramEnd"/>
      <w:r w:rsidRPr="003311C4">
        <w:rPr>
          <w:rFonts w:ascii="Times New Roman" w:hAnsi="Times New Roman" w:cs="Times New Roman"/>
          <w:sz w:val="24"/>
          <w:szCs w:val="24"/>
        </w:rPr>
        <w:t>.2012.04.006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Chakravarthy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K., Nava, A., Christo, P. J., &amp; Williams, K. (2016). Review of Recent Advances in Peripheral Nerve Stimulation (PNS).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20</w:t>
      </w:r>
      <w:r w:rsidRPr="003311C4">
        <w:rPr>
          <w:rFonts w:ascii="Times New Roman" w:hAnsi="Times New Roman" w:cs="Times New Roman"/>
          <w:sz w:val="24"/>
          <w:szCs w:val="24"/>
        </w:rPr>
        <w:t>(11), 60. doi:10.1007/s11916-016-0590-8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Chakravarthy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K., Chaudhry, H., Williams, K., &amp; Christo, P. J. (2015). Review of the Uses of Vagal Nerve Stimulation in Chronic Pain Management.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19</w:t>
      </w:r>
      <w:r w:rsidRPr="003311C4">
        <w:rPr>
          <w:rFonts w:ascii="Times New Roman" w:hAnsi="Times New Roman" w:cs="Times New Roman"/>
          <w:sz w:val="24"/>
          <w:szCs w:val="24"/>
        </w:rPr>
        <w:t>(12), 54. doi:10.1007/s11916-015-0528-6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Chan, C. W., &amp; Peng, P. (2011). Failed back surgery syndrome.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Pain Med, 12</w:t>
      </w:r>
      <w:r w:rsidRPr="003311C4">
        <w:rPr>
          <w:rFonts w:ascii="Times New Roman" w:hAnsi="Times New Roman" w:cs="Times New Roman"/>
          <w:sz w:val="24"/>
          <w:szCs w:val="24"/>
        </w:rPr>
        <w:t>(4), 577-606. doi:10.1111/j.1526-4637.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2011.01089.x</w:t>
      </w:r>
      <w:proofErr w:type="gramEnd"/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Chaparro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L. E.,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Furlan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A. D., Deshpande, A.,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Mailis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-Gagnon, A., Atlas, S., &amp; Turk, D. C. (2013). Opioids compared to placebo or other treatments for chronic low-back pain.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3311C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311C4">
        <w:rPr>
          <w:rFonts w:ascii="Times New Roman" w:hAnsi="Times New Roman" w:cs="Times New Roman"/>
          <w:sz w:val="24"/>
          <w:szCs w:val="24"/>
        </w:rPr>
        <w:t xml:space="preserve">8), CD004959. 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doi:10.1002/14651858.CD004959.pub4</w:t>
      </w:r>
      <w:proofErr w:type="gramEnd"/>
    </w:p>
    <w:p w:rsidR="003311C4" w:rsidRPr="003311C4" w:rsidRDefault="003311C4" w:rsidP="003311C4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Contrada</w:t>
      </w:r>
      <w:proofErr w:type="spellEnd"/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, E. (2016). 2.5 CE Test Hours: Intrathecal Pumps for Managing Cancer Pain.</w:t>
      </w:r>
      <w:r w:rsidRPr="003311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11C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AJN The American Journal of Nursing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3311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11C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116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(5), 45-46.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Cruccu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>, G., Garcia-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Larrea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L., Hansson, P.,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Keindl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Lefaucheur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 P., Paulus, W., Attal, N. (2016). EAN guidelines on central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neurostimulation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 therapy in chronic pain conditions.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>, 23</w:t>
      </w:r>
      <w:r w:rsidRPr="003311C4">
        <w:rPr>
          <w:rFonts w:ascii="Times New Roman" w:hAnsi="Times New Roman" w:cs="Times New Roman"/>
          <w:sz w:val="24"/>
          <w:szCs w:val="24"/>
        </w:rPr>
        <w:t>(10), 1489-1499. doi:10.1111/ene.13103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Deer, T. R.,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Krames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E.,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Mekhail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N., Pope, J., Leong, M., Stanton-Hicks, M., Committee, Neuromodulation Appropriateness Consensus. (2014). The appropriate use of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neurostimulation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: new and evolving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neurostimulation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 therapies and applicable treatment for </w:t>
      </w:r>
      <w:r w:rsidRPr="003311C4">
        <w:rPr>
          <w:rFonts w:ascii="Times New Roman" w:hAnsi="Times New Roman" w:cs="Times New Roman"/>
          <w:sz w:val="24"/>
          <w:szCs w:val="24"/>
        </w:rPr>
        <w:lastRenderedPageBreak/>
        <w:t xml:space="preserve">chronic pain and selected disease states. Neuromodulation Appropriateness Consensus Committee.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Neuromodulation, 17</w:t>
      </w:r>
      <w:r w:rsidRPr="003311C4">
        <w:rPr>
          <w:rFonts w:ascii="Times New Roman" w:hAnsi="Times New Roman" w:cs="Times New Roman"/>
          <w:sz w:val="24"/>
          <w:szCs w:val="24"/>
        </w:rPr>
        <w:t>(6), 599-615; discussion 615. doi:10.1111/ner.12204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Deer, T. R.,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Mekhail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N., Provenzano, D., Pope, J.,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Krames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E., Leong, M., Committee, Neuromodulation Appropriateness Consensus. (2014). The appropriate use of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neurostimulation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 of the spinal cord and peripheral nervous system for the treatment of chronic pain and ischemic diseases: 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3311C4">
        <w:rPr>
          <w:rFonts w:ascii="Times New Roman" w:hAnsi="Times New Roman" w:cs="Times New Roman"/>
          <w:sz w:val="24"/>
          <w:szCs w:val="24"/>
        </w:rPr>
        <w:t xml:space="preserve"> Neuromodulation Appropriateness Consensus Committee.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Neuromodulation, 17</w:t>
      </w:r>
      <w:r w:rsidRPr="003311C4">
        <w:rPr>
          <w:rFonts w:ascii="Times New Roman" w:hAnsi="Times New Roman" w:cs="Times New Roman"/>
          <w:sz w:val="24"/>
          <w:szCs w:val="24"/>
        </w:rPr>
        <w:t>(6), 515-550; discussion 550. doi:10.1111/ner.12208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Deer, T. R., Prager, J., Levy, R.,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Rathmell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Buchser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E., Burton, A.,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Mekhail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N. (2012).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Polyanalgesic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 Consensus Conference 2012: recommendations for the management of pain by intrathecal (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intraspinal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) drug delivery: report of an interdisciplinary expert panel.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Neuromodulation, 15</w:t>
      </w:r>
      <w:r w:rsidRPr="003311C4">
        <w:rPr>
          <w:rFonts w:ascii="Times New Roman" w:hAnsi="Times New Roman" w:cs="Times New Roman"/>
          <w:sz w:val="24"/>
          <w:szCs w:val="24"/>
        </w:rPr>
        <w:t>(5), 436-464; discussion 464-436. doi:10.1111/j.1525-1403.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2012.00476.x</w:t>
      </w:r>
      <w:proofErr w:type="gramEnd"/>
    </w:p>
    <w:p w:rsidR="003311C4" w:rsidRPr="003311C4" w:rsidRDefault="003311C4" w:rsidP="003311C4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Dowell, D., </w:t>
      </w:r>
      <w:proofErr w:type="spellStart"/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Haegerich</w:t>
      </w:r>
      <w:proofErr w:type="spellEnd"/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, T. M., &amp; Chou, R. (2016). CDC guideline for prescribing opioids for chronic pain—United States, 2016.</w:t>
      </w:r>
      <w:r w:rsidRPr="003311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11C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JAMA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3311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11C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315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(15), 1624-1645.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Dubinsky, R. M.,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Miyasaki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 (2010). Assessment: efficacy of transcutaneous electric nerve stimulation in the treatment of pain in neurologic disorders (an evidence-based review): report of the Therapeutics and Technology Assessment Subcommittee of the American Academy of Neurology.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Neurology, 74</w:t>
      </w:r>
      <w:r w:rsidRPr="003311C4">
        <w:rPr>
          <w:rFonts w:ascii="Times New Roman" w:hAnsi="Times New Roman" w:cs="Times New Roman"/>
          <w:sz w:val="24"/>
          <w:szCs w:val="24"/>
        </w:rPr>
        <w:t>(2), 173-176. doi:10.1212/WNL.0b013e3181c918fc</w:t>
      </w:r>
    </w:p>
    <w:p w:rsidR="00CE6364" w:rsidRPr="003311C4" w:rsidRDefault="00CE6364" w:rsidP="003311C4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Ellrich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 (2011). Transcutaneous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vagus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 nerve stimulation.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Rev</w:t>
      </w:r>
      <w:r w:rsidRPr="003311C4">
        <w:rPr>
          <w:rFonts w:ascii="Times New Roman" w:hAnsi="Times New Roman" w:cs="Times New Roman"/>
          <w:sz w:val="24"/>
          <w:szCs w:val="24"/>
        </w:rPr>
        <w:t xml:space="preserve">,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3311C4">
        <w:rPr>
          <w:rFonts w:ascii="Times New Roman" w:hAnsi="Times New Roman" w:cs="Times New Roman"/>
          <w:sz w:val="24"/>
          <w:szCs w:val="24"/>
        </w:rPr>
        <w:t>(4), 254-6.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Falowski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S. M. (2015). Deep Brain Stimulation for Chronic Pain.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19</w:t>
      </w:r>
      <w:r w:rsidRPr="003311C4">
        <w:rPr>
          <w:rFonts w:ascii="Times New Roman" w:hAnsi="Times New Roman" w:cs="Times New Roman"/>
          <w:sz w:val="24"/>
          <w:szCs w:val="24"/>
        </w:rPr>
        <w:t>(7), 27. doi:10.1007/s11916-015-0504-1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Froholdt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Reikeraas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O., Holm, I., Keller, A.,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Brox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 I. (2012). No difference in 9-year outcome in CLBP patients randomized to lumbar fusion versus cognitive intervention and exercises.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Spine J, 21</w:t>
      </w:r>
      <w:r w:rsidRPr="003311C4">
        <w:rPr>
          <w:rFonts w:ascii="Times New Roman" w:hAnsi="Times New Roman" w:cs="Times New Roman"/>
          <w:sz w:val="24"/>
          <w:szCs w:val="24"/>
        </w:rPr>
        <w:t>(12), 2531-2538. doi:10.1007/s00586-012-2382-0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Guan, Y. (2012). Spinal cord stimulation: neurophysiological and neurochemical mechanisms of action.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16</w:t>
      </w:r>
      <w:r w:rsidRPr="003311C4">
        <w:rPr>
          <w:rFonts w:ascii="Times New Roman" w:hAnsi="Times New Roman" w:cs="Times New Roman"/>
          <w:sz w:val="24"/>
          <w:szCs w:val="24"/>
        </w:rPr>
        <w:t>(3), 217-225. doi:10.1007/s11916-012-0260-4</w:t>
      </w:r>
    </w:p>
    <w:p w:rsidR="00467646" w:rsidRPr="003311C4" w:rsidRDefault="00467646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Ghazwani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Y. Q.,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Elkelini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M. S.,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Hassouna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M. M. (2011). Efficacy of sacral neuromodulation in treatment of bladder pain syndrome: long-term follow-up.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Neurourol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Urodyn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>, 30</w:t>
      </w:r>
      <w:r w:rsidRPr="003311C4">
        <w:rPr>
          <w:rFonts w:ascii="Times New Roman" w:hAnsi="Times New Roman" w:cs="Times New Roman"/>
          <w:sz w:val="24"/>
          <w:szCs w:val="24"/>
        </w:rPr>
        <w:t>(7), 1271-1275. doi:10.1002/nau.21037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Hayek, S. M., Deer, T. R., Pope, J. E., Panchal, S. J., &amp; Patel, V. B. (2011). Intrathecal therapy for cancer and non-cancer pain.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Pain Physician, 14</w:t>
      </w:r>
      <w:r w:rsidRPr="003311C4">
        <w:rPr>
          <w:rFonts w:ascii="Times New Roman" w:hAnsi="Times New Roman" w:cs="Times New Roman"/>
          <w:sz w:val="24"/>
          <w:szCs w:val="24"/>
        </w:rPr>
        <w:t xml:space="preserve">(3), 219-248. 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Johnson, M., &amp; Martinson, M. (2007). Efficacy of electrical nerve stimulation for chronic musculoskeletal pain: a meta-analysis of randomized controlled trials.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Pain, 130</w:t>
      </w:r>
      <w:r w:rsidRPr="003311C4">
        <w:rPr>
          <w:rFonts w:ascii="Times New Roman" w:hAnsi="Times New Roman" w:cs="Times New Roman"/>
          <w:sz w:val="24"/>
          <w:szCs w:val="24"/>
        </w:rPr>
        <w:t xml:space="preserve">(1-2), 157-165. 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doi:10.1016/j.pain</w:t>
      </w:r>
      <w:proofErr w:type="gramEnd"/>
      <w:r w:rsidRPr="003311C4">
        <w:rPr>
          <w:rFonts w:ascii="Times New Roman" w:hAnsi="Times New Roman" w:cs="Times New Roman"/>
          <w:sz w:val="24"/>
          <w:szCs w:val="24"/>
        </w:rPr>
        <w:t>.2007.02.007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lastRenderedPageBreak/>
        <w:t xml:space="preserve">Kumar, K., Hunter, G.,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Demeria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D. D. (2002). Treatment of chronic pain by using intrathecal drug therapy compared with conventional pain therapies: a cost-effectiveness analysis.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Neurosurg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>, 97</w:t>
      </w:r>
      <w:r w:rsidRPr="003311C4">
        <w:rPr>
          <w:rFonts w:ascii="Times New Roman" w:hAnsi="Times New Roman" w:cs="Times New Roman"/>
          <w:sz w:val="24"/>
          <w:szCs w:val="24"/>
        </w:rPr>
        <w:t>(4), 803-810. doi:10.3171/jns.2002.97.4.0803</w:t>
      </w:r>
    </w:p>
    <w:p w:rsidR="003311C4" w:rsidRPr="003311C4" w:rsidRDefault="003311C4" w:rsidP="003311C4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Kumar, K., Malik, S.,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Demeria</w:t>
      </w:r>
      <w:proofErr w:type="spellEnd"/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, D. (2002). Treatment of chronic pain with spinal cord stimulation versus alternative therapies: cost-effectiveness analysis.</w:t>
      </w:r>
      <w:r w:rsidRPr="003311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11C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Neurosurgery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3311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11C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51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(1), 106-116.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Kumar, K., Rizvi, S., &amp; Bishop, S. (2013). Cost effectiveness of intrathecal drug therapy in management of chronic nonmalignant pain.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J Pain, 29</w:t>
      </w:r>
      <w:r w:rsidRPr="003311C4">
        <w:rPr>
          <w:rFonts w:ascii="Times New Roman" w:hAnsi="Times New Roman" w:cs="Times New Roman"/>
          <w:sz w:val="24"/>
          <w:szCs w:val="24"/>
        </w:rPr>
        <w:t xml:space="preserve">(2), 138-145. 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doi:10.1097/AJP.0b013e31824b5fc9</w:t>
      </w:r>
      <w:proofErr w:type="gramEnd"/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Kumar, K., Rizvi, S., Bishop, S., &amp; Tang, W. (2013). Cost impact of intrathecal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polyanalgesia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Pain Med, 14</w:t>
      </w:r>
      <w:r w:rsidRPr="003311C4">
        <w:rPr>
          <w:rFonts w:ascii="Times New Roman" w:hAnsi="Times New Roman" w:cs="Times New Roman"/>
          <w:sz w:val="24"/>
          <w:szCs w:val="24"/>
        </w:rPr>
        <w:t>(10), 1569-1584. doi:10.1111/pme.12204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Kumar, K., Rizvi, S., Nguyen, R., Abbas, M., Bishop, S., &amp; Murthy, V. (2014). Impact of wait times on spinal cord stimulation therapy outcomes.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Pain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>, 14</w:t>
      </w:r>
      <w:r w:rsidRPr="003311C4">
        <w:rPr>
          <w:rFonts w:ascii="Times New Roman" w:hAnsi="Times New Roman" w:cs="Times New Roman"/>
          <w:sz w:val="24"/>
          <w:szCs w:val="24"/>
        </w:rPr>
        <w:t>(8), 709-720. doi:10.1111/papr.12126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Kumar, K., &amp; Wilson, J. R. (2007). Factors affecting spinal cord stimulation outcome in chronic benign pain with suggestions to improve success rate.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Acta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Neurochir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Suppl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>, 97</w:t>
      </w:r>
      <w:r w:rsidRPr="003311C4">
        <w:rPr>
          <w:rFonts w:ascii="Times New Roman" w:hAnsi="Times New Roman" w:cs="Times New Roman"/>
          <w:sz w:val="24"/>
          <w:szCs w:val="24"/>
        </w:rPr>
        <w:t xml:space="preserve">(Pt 1), 91-99. </w:t>
      </w:r>
    </w:p>
    <w:p w:rsidR="003055C4" w:rsidRPr="003311C4" w:rsidRDefault="003055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Lange, G.,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Janal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M. N.,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Maniker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A., Fitzgibbons, J.,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Fobler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M., Cook, D.,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Natelson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B. H. (2011). Safety and efficacy of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vagus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 nerve stimulation in fibromyalgia: a phase I/II proof of concept trial.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Pain Med, 12</w:t>
      </w:r>
      <w:r w:rsidRPr="003311C4">
        <w:rPr>
          <w:rFonts w:ascii="Times New Roman" w:hAnsi="Times New Roman" w:cs="Times New Roman"/>
          <w:sz w:val="24"/>
          <w:szCs w:val="24"/>
        </w:rPr>
        <w:t>(9), 1406-1413. doi:10.1111/j.1526-4637.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2011.01203.x</w:t>
      </w:r>
      <w:proofErr w:type="gramEnd"/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Levy, R., Deer, T. R., &amp; Henderson, J. (2010). Intracranial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neurostimulation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 for pain control: a review.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Pain Physician, 13</w:t>
      </w:r>
      <w:r w:rsidRPr="003311C4">
        <w:rPr>
          <w:rFonts w:ascii="Times New Roman" w:hAnsi="Times New Roman" w:cs="Times New Roman"/>
          <w:sz w:val="24"/>
          <w:szCs w:val="24"/>
        </w:rPr>
        <w:t xml:space="preserve">(2), 157-165. 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Liem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L., Russo, M.,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Huygen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F. J., Van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Buyten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 P., Smet, I.,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Verrills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P., Kramer, J. (2013). A multicenter, prospective trial to assess the safety and performance of the spinal modulation dorsal root ganglion neurostimulator system in the treatment of chronic pain.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Neuromodulation, 16</w:t>
      </w:r>
      <w:r w:rsidRPr="003311C4">
        <w:rPr>
          <w:rFonts w:ascii="Times New Roman" w:hAnsi="Times New Roman" w:cs="Times New Roman"/>
          <w:sz w:val="24"/>
          <w:szCs w:val="24"/>
        </w:rPr>
        <w:t>(5), 471-482; discussion 482. doi:10.1111/ner.12072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Lima, M. C.,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Fregni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F. (2008). Motor cortex stimulation for chronic pain: systematic review and meta-analysis of the literature.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Neurology, 70</w:t>
      </w:r>
      <w:r w:rsidRPr="003311C4">
        <w:rPr>
          <w:rFonts w:ascii="Times New Roman" w:hAnsi="Times New Roman" w:cs="Times New Roman"/>
          <w:sz w:val="24"/>
          <w:szCs w:val="24"/>
        </w:rPr>
        <w:t xml:space="preserve">(24), 2329-2337. 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doi:10.1212/01.wnl</w:t>
      </w:r>
      <w:proofErr w:type="gramEnd"/>
      <w:r w:rsidRPr="003311C4">
        <w:rPr>
          <w:rFonts w:ascii="Times New Roman" w:hAnsi="Times New Roman" w:cs="Times New Roman"/>
          <w:sz w:val="24"/>
          <w:szCs w:val="24"/>
        </w:rPr>
        <w:t>.0000314649.38527.93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Koziara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Barszcz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Rola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Karliński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Sliwińska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Bonicki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W. (2012). Motor cortex stimulation in the treatment of neuropathic pain.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Neurochir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Pol, 46</w:t>
      </w:r>
      <w:r w:rsidRPr="003311C4">
        <w:rPr>
          <w:rFonts w:ascii="Times New Roman" w:hAnsi="Times New Roman" w:cs="Times New Roman"/>
          <w:sz w:val="24"/>
          <w:szCs w:val="24"/>
        </w:rPr>
        <w:t xml:space="preserve">(5), 428-435. 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Mekhail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N. A., Mathews, M.,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Nageeb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Guirguis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Mekhail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M. N., &amp; Cheng, J. (2011). Retrospective review of 707 cases of spinal cord stimulation: indications and complications.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Pain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>, 11</w:t>
      </w:r>
      <w:r w:rsidRPr="003311C4">
        <w:rPr>
          <w:rFonts w:ascii="Times New Roman" w:hAnsi="Times New Roman" w:cs="Times New Roman"/>
          <w:sz w:val="24"/>
          <w:szCs w:val="24"/>
        </w:rPr>
        <w:t>(2), 148-153. doi:10.1111/j.1533-2500.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2010.00407.x</w:t>
      </w:r>
      <w:proofErr w:type="gramEnd"/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Nnoaham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K. E.,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Kumbang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 (2008). Transcutaneous electrical nerve stimulation (TENS) </w:t>
      </w:r>
      <w:r w:rsidRPr="003311C4">
        <w:rPr>
          <w:rFonts w:ascii="Times New Roman" w:hAnsi="Times New Roman" w:cs="Times New Roman"/>
          <w:sz w:val="24"/>
          <w:szCs w:val="24"/>
        </w:rPr>
        <w:lastRenderedPageBreak/>
        <w:t xml:space="preserve">for chronic pain.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3311C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311C4">
        <w:rPr>
          <w:rFonts w:ascii="Times New Roman" w:hAnsi="Times New Roman" w:cs="Times New Roman"/>
          <w:sz w:val="24"/>
          <w:szCs w:val="24"/>
        </w:rPr>
        <w:t xml:space="preserve">3), CD003222. 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doi:10.1002/14651858.CD003222.pub2</w:t>
      </w:r>
      <w:proofErr w:type="gramEnd"/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Nemeroff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C. B.,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Mayberg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H. S.,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Krahl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S. E., McNamara, J., Frazer, A., Henry, T. R., Brannan, S. K. (2006). VNS therapy in treatment-resistant depression: clinical evidence and putative neurobiological mechanisms.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Neuropsychopharmacology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>, 31</w:t>
      </w:r>
      <w:r w:rsidRPr="003311C4">
        <w:rPr>
          <w:rFonts w:ascii="Times New Roman" w:hAnsi="Times New Roman" w:cs="Times New Roman"/>
          <w:sz w:val="24"/>
          <w:szCs w:val="24"/>
        </w:rPr>
        <w:t xml:space="preserve">(7), 1345-1355. 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doi:10.1038/sj.npp</w:t>
      </w:r>
      <w:proofErr w:type="gramEnd"/>
      <w:r w:rsidRPr="003311C4">
        <w:rPr>
          <w:rFonts w:ascii="Times New Roman" w:hAnsi="Times New Roman" w:cs="Times New Roman"/>
          <w:sz w:val="24"/>
          <w:szCs w:val="24"/>
        </w:rPr>
        <w:t>.1301082</w:t>
      </w:r>
    </w:p>
    <w:p w:rsidR="004F576A" w:rsidRPr="003311C4" w:rsidRDefault="004F576A" w:rsidP="003311C4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>Pain management devices market by device type (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neurostimulation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>, SCS, TENS, RF ablation, infusion pumps), application (cancer, neuropathy, musculoskeletal, migraine, facial), by mode of purchase (OTC, prescription-based) – Global Forecast to 2020.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Peppin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 F.,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Passik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S. D., Couto, J. E., Fine, P. G., Christo, P. J.,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Argoff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C., Goldfarb, N. I. (2012). Recommendations for urine drug monitoring as a component of opioid therapy in the treatment of chronic pain.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Pain Med, 13</w:t>
      </w:r>
      <w:r w:rsidRPr="003311C4">
        <w:rPr>
          <w:rFonts w:ascii="Times New Roman" w:hAnsi="Times New Roman" w:cs="Times New Roman"/>
          <w:sz w:val="24"/>
          <w:szCs w:val="24"/>
        </w:rPr>
        <w:t>(7), 886-896. doi:10.1111/j.1526-4637.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2012.01414.x</w:t>
      </w:r>
      <w:proofErr w:type="gramEnd"/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Poitras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S., &amp; Brosseau, L. (2008). Evidence-informed management of chronic low back pain with transcutaneous electrical nerve stimulation, interferential current, electrical muscle stimulation, ultrasound, and thermotherapy.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Spine J, 8</w:t>
      </w:r>
      <w:r w:rsidRPr="003311C4">
        <w:rPr>
          <w:rFonts w:ascii="Times New Roman" w:hAnsi="Times New Roman" w:cs="Times New Roman"/>
          <w:sz w:val="24"/>
          <w:szCs w:val="24"/>
        </w:rPr>
        <w:t xml:space="preserve">(1), 226-233. </w:t>
      </w:r>
      <w:proofErr w:type="gramStart"/>
      <w:r w:rsidRPr="003311C4">
        <w:rPr>
          <w:rFonts w:ascii="Times New Roman" w:hAnsi="Times New Roman" w:cs="Times New Roman"/>
          <w:sz w:val="24"/>
          <w:szCs w:val="24"/>
        </w:rPr>
        <w:t>doi:10.1016/j.spinee</w:t>
      </w:r>
      <w:proofErr w:type="gramEnd"/>
      <w:r w:rsidRPr="003311C4">
        <w:rPr>
          <w:rFonts w:ascii="Times New Roman" w:hAnsi="Times New Roman" w:cs="Times New Roman"/>
          <w:sz w:val="24"/>
          <w:szCs w:val="24"/>
        </w:rPr>
        <w:t>.2007.10.022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Poree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L.,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Krames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E., Pope, J., Deer, T. R., Levy, R., &amp; Schultz, L. (2013). Spinal cord stimulation as treatment for complex regional pain syndrome should be considered earlier than last resort therapy.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Neuromodulation, 16</w:t>
      </w:r>
      <w:r w:rsidRPr="003311C4">
        <w:rPr>
          <w:rFonts w:ascii="Times New Roman" w:hAnsi="Times New Roman" w:cs="Times New Roman"/>
          <w:sz w:val="24"/>
          <w:szCs w:val="24"/>
        </w:rPr>
        <w:t>(2), 125-141. doi:10.1111/ner.12035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Prager, J., Deer, T., Levy, R.,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Bruel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Buchser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E., Caraway, D., Stearns, L. (2014). Best practices for intrathecal drug delivery for pain.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>Neuromodulation, 17</w:t>
      </w:r>
      <w:r w:rsidRPr="003311C4">
        <w:rPr>
          <w:rFonts w:ascii="Times New Roman" w:hAnsi="Times New Roman" w:cs="Times New Roman"/>
          <w:sz w:val="24"/>
          <w:szCs w:val="24"/>
        </w:rPr>
        <w:t>(4), 354-372; discussion 372. doi:10.1111/ner.12146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Rizvi, S., &amp; Kumar, K. (2015). History and present state of targeted intrathecal drug delivery.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19</w:t>
      </w:r>
      <w:r w:rsidRPr="003311C4">
        <w:rPr>
          <w:rFonts w:ascii="Times New Roman" w:hAnsi="Times New Roman" w:cs="Times New Roman"/>
          <w:sz w:val="24"/>
          <w:szCs w:val="24"/>
        </w:rPr>
        <w:t>(2), 474. doi:10.1007/s11916-014-0474-8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Simpson, E. L., Duenas, A., Holmes, M. W.,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Papaioannou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D.,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Chilcott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 (2009). Spinal cord stimulation for chronic pain of neuropathic or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ischaemic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 origin: systematic review and economic evaluation. </w:t>
      </w:r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Health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Technol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Assess, 13</w:t>
      </w:r>
      <w:r w:rsidRPr="003311C4">
        <w:rPr>
          <w:rFonts w:ascii="Times New Roman" w:hAnsi="Times New Roman" w:cs="Times New Roman"/>
          <w:sz w:val="24"/>
          <w:szCs w:val="24"/>
        </w:rPr>
        <w:t>(17), iii, ix-x, 1-154. doi:10.3310/hta13170</w:t>
      </w:r>
    </w:p>
    <w:p w:rsidR="003311C4" w:rsidRPr="003311C4" w:rsidRDefault="003311C4" w:rsidP="003311C4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1C4">
        <w:rPr>
          <w:rFonts w:ascii="Times New Roman" w:hAnsi="Times New Roman" w:cs="Times New Roman"/>
          <w:sz w:val="24"/>
          <w:szCs w:val="24"/>
        </w:rPr>
        <w:t xml:space="preserve">Stadler, J. A.,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Ellens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D. J.,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Rosenow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J. M. (2011). Deep brain stimulation and motor cortical stimulation for neuropathic pain.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15</w:t>
      </w:r>
      <w:r w:rsidRPr="003311C4">
        <w:rPr>
          <w:rFonts w:ascii="Times New Roman" w:hAnsi="Times New Roman" w:cs="Times New Roman"/>
          <w:sz w:val="24"/>
          <w:szCs w:val="24"/>
        </w:rPr>
        <w:t>(1), 8-13. doi:10.1007/s11916-010-0161-3</w:t>
      </w:r>
    </w:p>
    <w:p w:rsidR="003311C4" w:rsidRPr="003311C4" w:rsidRDefault="003311C4" w:rsidP="003311C4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311C4">
        <w:rPr>
          <w:rFonts w:ascii="Times New Roman" w:hAnsi="Times New Roman" w:cs="Times New Roman"/>
          <w:sz w:val="24"/>
          <w:szCs w:val="24"/>
        </w:rPr>
        <w:t>Sukul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V. V., &amp; </w:t>
      </w:r>
      <w:proofErr w:type="spellStart"/>
      <w:r w:rsidRPr="003311C4">
        <w:rPr>
          <w:rFonts w:ascii="Times New Roman" w:hAnsi="Times New Roman" w:cs="Times New Roman"/>
          <w:sz w:val="24"/>
          <w:szCs w:val="24"/>
        </w:rPr>
        <w:t>Slavin</w:t>
      </w:r>
      <w:proofErr w:type="spellEnd"/>
      <w:r w:rsidRPr="003311C4">
        <w:rPr>
          <w:rFonts w:ascii="Times New Roman" w:hAnsi="Times New Roman" w:cs="Times New Roman"/>
          <w:sz w:val="24"/>
          <w:szCs w:val="24"/>
        </w:rPr>
        <w:t xml:space="preserve">, K. V. (2014). Deep brain and motor cortex stimulation. </w:t>
      </w:r>
      <w:proofErr w:type="spellStart"/>
      <w:r w:rsidRPr="003311C4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3311C4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18</w:t>
      </w:r>
      <w:r w:rsidRPr="003311C4">
        <w:rPr>
          <w:rFonts w:ascii="Times New Roman" w:hAnsi="Times New Roman" w:cs="Times New Roman"/>
          <w:sz w:val="24"/>
          <w:szCs w:val="24"/>
        </w:rPr>
        <w:t>(7), 427. doi:10.1007/s11916-014-0427-2</w:t>
      </w:r>
    </w:p>
    <w:p w:rsidR="004F576A" w:rsidRPr="003311C4" w:rsidRDefault="004F576A" w:rsidP="003311C4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Welberg</w:t>
      </w:r>
      <w:proofErr w:type="spellEnd"/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, L. (2012). Techniques: Optogenetic control in monkey brains.</w:t>
      </w:r>
      <w:r w:rsidRPr="003311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11C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Nature Reviews Neuroscience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3311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11C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13</w:t>
      </w:r>
      <w:r w:rsidRPr="003311C4">
        <w:rPr>
          <w:rFonts w:ascii="Times New Roman" w:hAnsi="Times New Roman" w:cs="Times New Roman"/>
          <w:sz w:val="24"/>
          <w:szCs w:val="24"/>
          <w:shd w:val="clear" w:color="auto" w:fill="FFFFFF"/>
        </w:rPr>
        <w:t>(9), 603-603.</w:t>
      </w:r>
    </w:p>
    <w:sectPr w:rsidR="004F576A" w:rsidRPr="00331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11AD4"/>
    <w:multiLevelType w:val="hybridMultilevel"/>
    <w:tmpl w:val="D790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63E30"/>
    <w:multiLevelType w:val="hybridMultilevel"/>
    <w:tmpl w:val="CD469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C707B"/>
    <w:multiLevelType w:val="hybridMultilevel"/>
    <w:tmpl w:val="D0B68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6A"/>
    <w:rsid w:val="00014154"/>
    <w:rsid w:val="000D1466"/>
    <w:rsid w:val="00117783"/>
    <w:rsid w:val="001551EE"/>
    <w:rsid w:val="001756D2"/>
    <w:rsid w:val="00233749"/>
    <w:rsid w:val="00265D1D"/>
    <w:rsid w:val="003055C4"/>
    <w:rsid w:val="003311C4"/>
    <w:rsid w:val="003C1D85"/>
    <w:rsid w:val="00467646"/>
    <w:rsid w:val="004C4FAE"/>
    <w:rsid w:val="004F576A"/>
    <w:rsid w:val="00532919"/>
    <w:rsid w:val="007C10BB"/>
    <w:rsid w:val="007E51D4"/>
    <w:rsid w:val="00C108C7"/>
    <w:rsid w:val="00CA43CC"/>
    <w:rsid w:val="00CE6364"/>
    <w:rsid w:val="00D1076E"/>
    <w:rsid w:val="00D71CAE"/>
    <w:rsid w:val="00DA1327"/>
    <w:rsid w:val="00E70B49"/>
    <w:rsid w:val="00E8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F4373"/>
  <w15:docId w15:val="{A50A60DB-4570-4A34-8860-ABBD02CF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6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4F576A"/>
  </w:style>
  <w:style w:type="paragraph" w:styleId="ListParagraph">
    <w:name w:val="List Paragraph"/>
    <w:basedOn w:val="Normal"/>
    <w:uiPriority w:val="34"/>
    <w:qFormat/>
    <w:rsid w:val="004F57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6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itishpainsociety.org/book_scs_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1531</Words>
  <Characters>8730</Characters>
  <Application>Microsoft Office Word</Application>
  <DocSecurity>0</DocSecurity>
  <Lines>72</Lines>
  <Paragraphs>20</Paragraphs>
  <ScaleCrop>false</ScaleCrop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2</cp:revision>
  <cp:lastPrinted>2017-06-13T23:00:00Z</cp:lastPrinted>
  <dcterms:created xsi:type="dcterms:W3CDTF">2017-07-17T01:58:00Z</dcterms:created>
  <dcterms:modified xsi:type="dcterms:W3CDTF">2017-07-17T01:58:00Z</dcterms:modified>
</cp:coreProperties>
</file>